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4D" w:rsidRDefault="00A8214D" w:rsidP="00A8214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2</w:t>
      </w:r>
    </w:p>
    <w:p w:rsidR="00A8214D" w:rsidRDefault="00A8214D" w:rsidP="00A8214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приказу департамента образования</w:t>
      </w:r>
    </w:p>
    <w:p w:rsidR="00A8214D" w:rsidRDefault="00A8214D" w:rsidP="00A8214D">
      <w:pPr>
        <w:shd w:val="clear" w:color="FFFFFF" w:themeColor="background1" w:fill="FFFFFF" w:themeFill="background1"/>
        <w:jc w:val="right"/>
      </w:pPr>
      <w:r>
        <w:rPr>
          <w:bCs/>
          <w:sz w:val="22"/>
          <w:szCs w:val="22"/>
        </w:rPr>
        <w:t>От 27.04.2024 № 10-П-855</w:t>
      </w:r>
    </w:p>
    <w:p w:rsidR="00A8214D" w:rsidRDefault="00A8214D" w:rsidP="00A8214D">
      <w:pPr>
        <w:shd w:val="clear" w:color="FFFFFF" w:themeColor="background1" w:fill="FFFFFF" w:themeFill="background1"/>
        <w:jc w:val="right"/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Сведения по проведению тематических уроков / самостоятельных мероприятий регионального марафона финансовой грамотности – «</w:t>
      </w:r>
      <w:r>
        <w:rPr>
          <w:sz w:val="28"/>
          <w:szCs w:val="28"/>
          <w:lang w:val="en-US"/>
        </w:rPr>
        <w:t>Global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week</w:t>
      </w:r>
      <w:r>
        <w:rPr>
          <w:sz w:val="28"/>
          <w:szCs w:val="28"/>
        </w:rPr>
        <w:t xml:space="preserve"> по-Югорски» для детей и молодежи, педагогических работников образовательных организаций автономного округа в 2024 году</w:t>
      </w: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161"/>
        <w:gridCol w:w="2898"/>
        <w:gridCol w:w="1677"/>
        <w:gridCol w:w="1576"/>
        <w:gridCol w:w="2972"/>
        <w:gridCol w:w="3479"/>
      </w:tblGrid>
      <w:tr w:rsidR="00A8214D" w:rsidTr="00A8214D">
        <w:tc>
          <w:tcPr>
            <w:tcW w:w="625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161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Муниципальное образование</w:t>
            </w:r>
          </w:p>
        </w:tc>
        <w:tc>
          <w:tcPr>
            <w:tcW w:w="2898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Общеобразовательная организация</w:t>
            </w:r>
          </w:p>
        </w:tc>
        <w:tc>
          <w:tcPr>
            <w:tcW w:w="1677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ФИО педагога</w:t>
            </w:r>
          </w:p>
        </w:tc>
        <w:tc>
          <w:tcPr>
            <w:tcW w:w="1576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Кол-во участников</w:t>
            </w:r>
          </w:p>
        </w:tc>
        <w:tc>
          <w:tcPr>
            <w:tcW w:w="2972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Название проведенного мероприятия/урока</w:t>
            </w:r>
          </w:p>
        </w:tc>
        <w:tc>
          <w:tcPr>
            <w:tcW w:w="3479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Краткое описание мероприятия/урока (педагогический результат)</w:t>
            </w:r>
          </w:p>
        </w:tc>
      </w:tr>
      <w:tr w:rsidR="00A8214D" w:rsidTr="00A8214D">
        <w:tc>
          <w:tcPr>
            <w:tcW w:w="625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161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Нижневартовск</w:t>
            </w:r>
          </w:p>
        </w:tc>
        <w:tc>
          <w:tcPr>
            <w:tcW w:w="2898" w:type="dxa"/>
          </w:tcPr>
          <w:p w:rsidR="00A8214D" w:rsidRPr="00A8214D" w:rsidRDefault="00A8214D" w:rsidP="00A8214D">
            <w:pPr>
              <w:keepNext/>
              <w:jc w:val="center"/>
              <w:outlineLvl w:val="0"/>
              <w:rPr>
                <w:szCs w:val="28"/>
              </w:rPr>
            </w:pPr>
            <w:r w:rsidRPr="00A8214D">
              <w:rPr>
                <w:sz w:val="28"/>
                <w:szCs w:val="28"/>
              </w:rPr>
              <w:t>МБОУ «СШ № 2-многопрофильная им. Е.И.Куропаткина»</w:t>
            </w:r>
          </w:p>
        </w:tc>
        <w:tc>
          <w:tcPr>
            <w:tcW w:w="1677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Романова Анастасия Дмитриевна</w:t>
            </w:r>
          </w:p>
        </w:tc>
        <w:tc>
          <w:tcPr>
            <w:tcW w:w="1576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2972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Урок ФИНЗОЖ «Ч</w:t>
            </w:r>
            <w:r>
              <w:rPr>
                <w:sz w:val="28"/>
              </w:rPr>
              <w:t xml:space="preserve">то значит быть </w:t>
            </w:r>
            <w:r>
              <w:rPr>
                <w:sz w:val="28"/>
              </w:rPr>
              <w:t>финансово грамотным ?»</w:t>
            </w:r>
          </w:p>
        </w:tc>
        <w:tc>
          <w:tcPr>
            <w:tcW w:w="3479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 w:rsidRPr="00E63C54">
              <w:rPr>
                <w:color w:val="000000"/>
                <w:spacing w:val="-2"/>
                <w:sz w:val="28"/>
                <w:szCs w:val="28"/>
              </w:rPr>
              <w:t>Обучающиеся 5-7 классов познакомились с функциями денег. Провели практическую работу на составление бюджета государства. Определили основные характеристики финансово грамотного человека. Выяснили, для чего нужно повышать финансовую грамотность. Провели презентацию финансовых историй, решая ситуационные задачи.</w:t>
            </w:r>
          </w:p>
        </w:tc>
      </w:tr>
      <w:tr w:rsidR="00A8214D" w:rsidTr="00A8214D">
        <w:tc>
          <w:tcPr>
            <w:tcW w:w="625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161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Нижневартовск</w:t>
            </w:r>
          </w:p>
        </w:tc>
        <w:tc>
          <w:tcPr>
            <w:tcW w:w="2898" w:type="dxa"/>
            <w:vMerge w:val="restart"/>
          </w:tcPr>
          <w:p w:rsidR="00A8214D" w:rsidRPr="00A8214D" w:rsidRDefault="00A8214D" w:rsidP="00A8214D">
            <w:pPr>
              <w:jc w:val="center"/>
              <w:rPr>
                <w:sz w:val="28"/>
                <w:szCs w:val="28"/>
              </w:rPr>
            </w:pPr>
            <w:r w:rsidRPr="00A8214D">
              <w:rPr>
                <w:sz w:val="28"/>
                <w:szCs w:val="28"/>
              </w:rPr>
              <w:t>МБОУ «СШ № 2-многопрофильная им. Е.И.Куропаткина»</w:t>
            </w:r>
          </w:p>
        </w:tc>
        <w:tc>
          <w:tcPr>
            <w:tcW w:w="1677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Галина Юрьевна</w:t>
            </w:r>
          </w:p>
        </w:tc>
        <w:tc>
          <w:tcPr>
            <w:tcW w:w="1576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972" w:type="dxa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Урок ФИНЗОЖ «Что значит быть финансово грамотным ?»</w:t>
            </w:r>
          </w:p>
        </w:tc>
        <w:tc>
          <w:tcPr>
            <w:tcW w:w="3479" w:type="dxa"/>
          </w:tcPr>
          <w:p w:rsidR="00A8214D" w:rsidRDefault="00A8214D" w:rsidP="00A8214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Знакомство с функциями денег, практическая работа: составление бюджета. Определили основные характеристики </w:t>
            </w:r>
            <w:r>
              <w:rPr>
                <w:sz w:val="28"/>
              </w:rPr>
              <w:lastRenderedPageBreak/>
              <w:t>финансово грамотного человека.</w:t>
            </w:r>
          </w:p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Презентация финансовых историй.</w:t>
            </w:r>
          </w:p>
        </w:tc>
      </w:tr>
      <w:tr w:rsidR="00A8214D" w:rsidTr="00A8214D">
        <w:tc>
          <w:tcPr>
            <w:tcW w:w="625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77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A8214D" w:rsidRPr="00A8214D" w:rsidRDefault="00A8214D" w:rsidP="00A8214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«Простые шаги к финансовому благополучию»</w:t>
            </w:r>
          </w:p>
        </w:tc>
        <w:tc>
          <w:tcPr>
            <w:tcW w:w="3479" w:type="dxa"/>
          </w:tcPr>
          <w:p w:rsidR="00A8214D" w:rsidRDefault="00A8214D" w:rsidP="00A8214D">
            <w:pPr>
              <w:keepNext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Выяснили какие условия создаёт государство для финансового благополучия граждан. Привели примеры личного финансового планирования.</w:t>
            </w:r>
          </w:p>
        </w:tc>
      </w:tr>
      <w:tr w:rsidR="00A8214D" w:rsidTr="00A8214D">
        <w:tc>
          <w:tcPr>
            <w:tcW w:w="625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77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A8214D" w:rsidRDefault="00A8214D" w:rsidP="00A821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«Как определить свои финансовые цели»</w:t>
            </w:r>
          </w:p>
        </w:tc>
        <w:tc>
          <w:tcPr>
            <w:tcW w:w="3479" w:type="dxa"/>
          </w:tcPr>
          <w:p w:rsidR="00A8214D" w:rsidRDefault="00A8214D" w:rsidP="00A8214D">
            <w:pPr>
              <w:keepNext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Выяснили какие финансовые цели могут быть у человека и наметили пути их достижения. Знакомство с полезными ресурсами по финансовой грамотности.</w:t>
            </w:r>
          </w:p>
        </w:tc>
      </w:tr>
      <w:tr w:rsidR="00A8214D" w:rsidTr="00A8214D">
        <w:tc>
          <w:tcPr>
            <w:tcW w:w="625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161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Нижневартовск</w:t>
            </w:r>
          </w:p>
        </w:tc>
        <w:tc>
          <w:tcPr>
            <w:tcW w:w="2898" w:type="dxa"/>
            <w:vMerge w:val="restart"/>
          </w:tcPr>
          <w:p w:rsidR="00A8214D" w:rsidRPr="00A8214D" w:rsidRDefault="00A8214D" w:rsidP="00A8214D">
            <w:pPr>
              <w:jc w:val="center"/>
              <w:rPr>
                <w:sz w:val="28"/>
                <w:szCs w:val="28"/>
              </w:rPr>
            </w:pPr>
            <w:r w:rsidRPr="00A8214D">
              <w:rPr>
                <w:sz w:val="28"/>
                <w:szCs w:val="28"/>
              </w:rPr>
              <w:t>МБОУ «СШ № 2-многопрофильная им. Е.И.Куропаткина»</w:t>
            </w:r>
          </w:p>
        </w:tc>
        <w:tc>
          <w:tcPr>
            <w:tcW w:w="1677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Конышева Ирина Ивановна</w:t>
            </w:r>
          </w:p>
        </w:tc>
        <w:tc>
          <w:tcPr>
            <w:tcW w:w="1576" w:type="dxa"/>
            <w:vMerge w:val="restart"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972" w:type="dxa"/>
          </w:tcPr>
          <w:p w:rsidR="00A8214D" w:rsidRDefault="00A8214D" w:rsidP="00A821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Урок ФИНЗОЖ «Что значит быть финансово грамотным ?»</w:t>
            </w:r>
          </w:p>
        </w:tc>
        <w:tc>
          <w:tcPr>
            <w:tcW w:w="3479" w:type="dxa"/>
          </w:tcPr>
          <w:p w:rsidR="00A8214D" w:rsidRDefault="00A8214D" w:rsidP="00A8214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Знакомство с функциями денег, практическая работа: составление бюджета. Определили основные характеристики финансово грамотного человека.</w:t>
            </w:r>
          </w:p>
          <w:p w:rsidR="00A8214D" w:rsidRDefault="00A8214D" w:rsidP="00A8214D">
            <w:pPr>
              <w:keepNext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Презентация финансовых историй.</w:t>
            </w:r>
          </w:p>
        </w:tc>
      </w:tr>
      <w:tr w:rsidR="00A8214D" w:rsidTr="00A8214D">
        <w:tc>
          <w:tcPr>
            <w:tcW w:w="625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77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A8214D" w:rsidRDefault="00A8214D" w:rsidP="00A821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«Простые шаги к финансовому благополучию»</w:t>
            </w:r>
          </w:p>
        </w:tc>
        <w:tc>
          <w:tcPr>
            <w:tcW w:w="3479" w:type="dxa"/>
          </w:tcPr>
          <w:p w:rsidR="00A8214D" w:rsidRDefault="00A8214D" w:rsidP="00A8214D">
            <w:pPr>
              <w:keepNext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Выяснили какие условия создаёт государство для финансового благополучия граждан. Привели примеры личного </w:t>
            </w:r>
            <w:r>
              <w:rPr>
                <w:sz w:val="28"/>
              </w:rPr>
              <w:lastRenderedPageBreak/>
              <w:t>финансового планирования.</w:t>
            </w:r>
          </w:p>
        </w:tc>
      </w:tr>
      <w:tr w:rsidR="00A8214D" w:rsidTr="00A8214D">
        <w:tc>
          <w:tcPr>
            <w:tcW w:w="625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77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A8214D" w:rsidRDefault="00A8214D" w:rsidP="00A82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A8214D" w:rsidRDefault="00A8214D" w:rsidP="00A821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«Как определить свои финансовые цели»</w:t>
            </w:r>
          </w:p>
        </w:tc>
        <w:tc>
          <w:tcPr>
            <w:tcW w:w="3479" w:type="dxa"/>
          </w:tcPr>
          <w:p w:rsidR="00A8214D" w:rsidRDefault="00A8214D" w:rsidP="00A8214D">
            <w:pPr>
              <w:keepNext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Выяснили какие финансовые цели могут быть у человека и наметили пути их достижения. Знакомство с полезными ресурсами по финансовой грамотности.</w:t>
            </w:r>
          </w:p>
        </w:tc>
      </w:tr>
    </w:tbl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jc w:val="center"/>
        <w:rPr>
          <w:sz w:val="28"/>
          <w:szCs w:val="28"/>
        </w:rPr>
      </w:pPr>
    </w:p>
    <w:p w:rsidR="00A8214D" w:rsidRDefault="00A8214D" w:rsidP="00A8214D">
      <w:pPr>
        <w:shd w:val="clear" w:color="FFFFFF" w:themeColor="background1" w:fill="FFFFFF" w:themeFill="background1"/>
        <w:rPr>
          <w:sz w:val="28"/>
          <w:szCs w:val="28"/>
        </w:rPr>
      </w:pPr>
      <w:bookmarkStart w:id="0" w:name="_GoBack"/>
      <w:bookmarkEnd w:id="0"/>
    </w:p>
    <w:sectPr w:rsidR="00A8214D" w:rsidSect="00A821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5B"/>
    <w:rsid w:val="00A8214D"/>
    <w:rsid w:val="00BF0725"/>
    <w:rsid w:val="00E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8BC"/>
  <w15:chartTrackingRefBased/>
  <w15:docId w15:val="{7B0D142D-9268-4E2B-A2CC-E4716406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Романова</dc:creator>
  <cp:keywords/>
  <dc:description/>
  <cp:lastModifiedBy>Анастасия Романова</cp:lastModifiedBy>
  <cp:revision>2</cp:revision>
  <dcterms:created xsi:type="dcterms:W3CDTF">2024-05-27T09:06:00Z</dcterms:created>
  <dcterms:modified xsi:type="dcterms:W3CDTF">2024-05-27T09:18:00Z</dcterms:modified>
</cp:coreProperties>
</file>